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56" w:rsidRDefault="004A5756" w:rsidP="002F0B79">
      <w:pPr>
        <w:rPr>
          <w:b/>
          <w:i/>
          <w:sz w:val="20"/>
          <w:szCs w:val="20"/>
        </w:rPr>
      </w:pPr>
    </w:p>
    <w:p w:rsidR="00A925C1" w:rsidRDefault="00F30392" w:rsidP="002F0B79">
      <w:pPr>
        <w:rPr>
          <w:rFonts w:ascii="Gill Sans MT" w:hAnsi="Gill Sans MT"/>
          <w:b/>
          <w:i/>
          <w:sz w:val="22"/>
          <w:szCs w:val="22"/>
        </w:rPr>
      </w:pPr>
      <w:r>
        <w:rPr>
          <w:rFonts w:ascii="Gill Sans MT" w:hAnsi="Gill Sans MT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A1EDC" wp14:editId="50CEB4EA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342900"/>
                <wp:effectExtent l="9525" t="9525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09" w:rsidRPr="007E55C6" w:rsidRDefault="00A23F57" w:rsidP="00C0550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E55C6">
                              <w:rPr>
                                <w:rFonts w:ascii="Gill Sans MT" w:hAnsi="Gill Sans MT"/>
                                <w:b/>
                              </w:rPr>
                              <w:t xml:space="preserve">AS AND </w:t>
                            </w:r>
                            <w:r w:rsidR="00A06109" w:rsidRPr="007E55C6">
                              <w:rPr>
                                <w:rFonts w:ascii="Gill Sans MT" w:hAnsi="Gill Sans MT"/>
                                <w:b/>
                              </w:rPr>
                              <w:t>A LEVEL FINE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36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">
                <v:textbox>
                  <w:txbxContent>
                    <w:p w:rsidR="00A06109" w:rsidRPr="007E55C6" w:rsidRDefault="00A23F57" w:rsidP="00C0550D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7E55C6">
                        <w:rPr>
                          <w:rFonts w:ascii="Gill Sans MT" w:hAnsi="Gill Sans MT"/>
                          <w:b/>
                        </w:rPr>
                        <w:t xml:space="preserve">AS AND </w:t>
                      </w:r>
                      <w:r w:rsidR="00A06109" w:rsidRPr="007E55C6">
                        <w:rPr>
                          <w:rFonts w:ascii="Gill Sans MT" w:hAnsi="Gill Sans MT"/>
                          <w:b/>
                        </w:rPr>
                        <w:t>A LEVEL FINE ART</w:t>
                      </w:r>
                    </w:p>
                  </w:txbxContent>
                </v:textbox>
              </v:shape>
            </w:pict>
          </mc:Fallback>
        </mc:AlternateContent>
      </w:r>
      <w:r w:rsidR="0064352C">
        <w:rPr>
          <w:rFonts w:ascii="Gill Sans MT" w:hAnsi="Gill Sans MT"/>
          <w:b/>
          <w:i/>
          <w:sz w:val="22"/>
          <w:szCs w:val="22"/>
        </w:rPr>
        <w:t>Fine Art</w:t>
      </w:r>
    </w:p>
    <w:p w:rsidR="0064352C" w:rsidRDefault="0064352C" w:rsidP="002F0B79">
      <w:pPr>
        <w:rPr>
          <w:rFonts w:ascii="Gill Sans MT" w:hAnsi="Gill Sans MT"/>
          <w:b/>
          <w:i/>
          <w:sz w:val="22"/>
          <w:szCs w:val="22"/>
        </w:rPr>
      </w:pPr>
    </w:p>
    <w:p w:rsidR="0064352C" w:rsidRPr="007E55C6" w:rsidRDefault="0064352C" w:rsidP="002F0B79">
      <w:pPr>
        <w:rPr>
          <w:rFonts w:ascii="Gill Sans MT" w:hAnsi="Gill Sans MT"/>
          <w:b/>
          <w:i/>
          <w:sz w:val="22"/>
          <w:szCs w:val="22"/>
        </w:rPr>
      </w:pPr>
      <w:r w:rsidRPr="007E55C6">
        <w:rPr>
          <w:rFonts w:ascii="Gill Sans MT" w:hAnsi="Gill Sans MT"/>
          <w:b/>
          <w:i/>
          <w:sz w:val="22"/>
          <w:szCs w:val="22"/>
        </w:rPr>
        <w:t>What does the course involve</w:t>
      </w:r>
      <w:r>
        <w:rPr>
          <w:rFonts w:ascii="Gill Sans MT" w:hAnsi="Gill Sans MT"/>
          <w:b/>
          <w:i/>
          <w:sz w:val="22"/>
          <w:szCs w:val="22"/>
        </w:rPr>
        <w:t>?</w:t>
      </w:r>
    </w:p>
    <w:p w:rsidR="00CC287A" w:rsidRPr="007E55C6" w:rsidRDefault="00155726" w:rsidP="002F0B7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It</w:t>
      </w:r>
      <w:r w:rsidR="002F0B79" w:rsidRPr="007E55C6">
        <w:rPr>
          <w:rFonts w:ascii="Gill Sans MT" w:hAnsi="Gill Sans MT"/>
          <w:sz w:val="22"/>
          <w:szCs w:val="22"/>
        </w:rPr>
        <w:t xml:space="preserve"> enable</w:t>
      </w:r>
      <w:r>
        <w:rPr>
          <w:rFonts w:ascii="Gill Sans MT" w:hAnsi="Gill Sans MT"/>
          <w:sz w:val="22"/>
          <w:szCs w:val="22"/>
        </w:rPr>
        <w:t xml:space="preserve">s students </w:t>
      </w:r>
      <w:r w:rsidR="0029430E" w:rsidRPr="007E55C6">
        <w:rPr>
          <w:rFonts w:ascii="Gill Sans MT" w:hAnsi="Gill Sans MT"/>
          <w:sz w:val="22"/>
          <w:szCs w:val="22"/>
        </w:rPr>
        <w:t xml:space="preserve">to develop </w:t>
      </w:r>
      <w:r>
        <w:rPr>
          <w:rFonts w:ascii="Gill Sans MT" w:hAnsi="Gill Sans MT"/>
          <w:sz w:val="22"/>
          <w:szCs w:val="22"/>
        </w:rPr>
        <w:t>a</w:t>
      </w:r>
      <w:r w:rsidR="002F0B79" w:rsidRPr="007E55C6">
        <w:rPr>
          <w:rFonts w:ascii="Gill Sans MT" w:hAnsi="Gill Sans MT"/>
          <w:sz w:val="22"/>
          <w:szCs w:val="22"/>
        </w:rPr>
        <w:t xml:space="preserve"> personal response</w:t>
      </w:r>
      <w:r w:rsidR="0029430E" w:rsidRPr="007E55C6">
        <w:rPr>
          <w:rFonts w:ascii="Gill Sans MT" w:hAnsi="Gill Sans MT"/>
          <w:sz w:val="22"/>
          <w:szCs w:val="22"/>
        </w:rPr>
        <w:t xml:space="preserve"> to experiences, environment and culture in both practical and theoretical activities.  </w:t>
      </w:r>
      <w:r w:rsidR="002F0B79" w:rsidRPr="007E55C6">
        <w:rPr>
          <w:rFonts w:ascii="Gill Sans MT" w:hAnsi="Gill Sans MT"/>
          <w:sz w:val="22"/>
          <w:szCs w:val="22"/>
        </w:rPr>
        <w:t xml:space="preserve">Underpinning your work will be the use of a sketchbook. </w:t>
      </w:r>
      <w:r w:rsidR="0029430E" w:rsidRPr="007E55C6">
        <w:rPr>
          <w:rFonts w:ascii="Gill Sans MT" w:hAnsi="Gill Sans MT"/>
          <w:sz w:val="22"/>
          <w:szCs w:val="22"/>
        </w:rPr>
        <w:t>Artwork can be expressed through:</w:t>
      </w:r>
    </w:p>
    <w:p w:rsidR="0029430E" w:rsidRPr="007E55C6" w:rsidRDefault="0029430E" w:rsidP="0029430E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7E55C6">
        <w:rPr>
          <w:rFonts w:ascii="Gill Sans MT" w:hAnsi="Gill Sans MT"/>
          <w:sz w:val="22"/>
          <w:szCs w:val="22"/>
        </w:rPr>
        <w:t xml:space="preserve">Painting and mixed media (including collage and </w:t>
      </w:r>
      <w:r w:rsidR="00CD4AE4">
        <w:rPr>
          <w:rFonts w:ascii="Gill Sans MT" w:hAnsi="Gill Sans MT"/>
          <w:sz w:val="22"/>
          <w:szCs w:val="22"/>
        </w:rPr>
        <w:t>textiles</w:t>
      </w:r>
      <w:r w:rsidRPr="007E55C6">
        <w:rPr>
          <w:rFonts w:ascii="Gill Sans MT" w:hAnsi="Gill Sans MT"/>
          <w:sz w:val="22"/>
          <w:szCs w:val="22"/>
        </w:rPr>
        <w:t>)</w:t>
      </w:r>
    </w:p>
    <w:p w:rsidR="0029430E" w:rsidRPr="007E55C6" w:rsidRDefault="0029430E" w:rsidP="0029430E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7E55C6">
        <w:rPr>
          <w:rFonts w:ascii="Gill Sans MT" w:hAnsi="Gill Sans MT"/>
          <w:sz w:val="22"/>
          <w:szCs w:val="22"/>
        </w:rPr>
        <w:t>Sculpture (including ceramics, installation and construction)</w:t>
      </w:r>
    </w:p>
    <w:p w:rsidR="0029430E" w:rsidRDefault="0029430E" w:rsidP="0029430E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7E55C6">
        <w:rPr>
          <w:rFonts w:ascii="Gill Sans MT" w:hAnsi="Gill Sans MT"/>
          <w:sz w:val="22"/>
          <w:szCs w:val="22"/>
        </w:rPr>
        <w:t>Printmaking (including lino, wood and screen processes)</w:t>
      </w:r>
    </w:p>
    <w:p w:rsidR="00CD4AE4" w:rsidRPr="007E55C6" w:rsidRDefault="00CD4AE4" w:rsidP="00CD4AE4">
      <w:pPr>
        <w:ind w:left="720"/>
        <w:rPr>
          <w:rFonts w:ascii="Gill Sans MT" w:hAnsi="Gill Sans MT"/>
          <w:sz w:val="22"/>
          <w:szCs w:val="22"/>
        </w:rPr>
      </w:pPr>
    </w:p>
    <w:p w:rsidR="0029430E" w:rsidRPr="007E55C6" w:rsidRDefault="003009A3" w:rsidP="002F0B79">
      <w:pPr>
        <w:rPr>
          <w:rFonts w:ascii="Gill Sans MT" w:hAnsi="Gill Sans MT"/>
          <w:sz w:val="22"/>
          <w:szCs w:val="22"/>
        </w:rPr>
      </w:pPr>
      <w:r w:rsidRPr="007E55C6">
        <w:rPr>
          <w:rFonts w:ascii="Gill Sans MT" w:hAnsi="Gill Sans MT"/>
          <w:sz w:val="22"/>
          <w:szCs w:val="22"/>
        </w:rPr>
        <w:t>A variety of trips are arranged throughout the year to enhance students’ studies.</w:t>
      </w:r>
    </w:p>
    <w:p w:rsidR="00CC287A" w:rsidRPr="007E55C6" w:rsidRDefault="00CC287A">
      <w:pPr>
        <w:rPr>
          <w:rFonts w:ascii="Gill Sans MT" w:hAnsi="Gill Sans MT"/>
          <w:sz w:val="22"/>
          <w:szCs w:val="22"/>
        </w:rPr>
      </w:pPr>
    </w:p>
    <w:p w:rsidR="00CC287A" w:rsidRPr="007E55C6" w:rsidRDefault="00CC287A">
      <w:pPr>
        <w:rPr>
          <w:rFonts w:ascii="Gill Sans MT" w:hAnsi="Gill Sans MT"/>
          <w:b/>
          <w:i/>
          <w:sz w:val="22"/>
          <w:szCs w:val="22"/>
        </w:rPr>
      </w:pPr>
      <w:r w:rsidRPr="007E55C6">
        <w:rPr>
          <w:rFonts w:ascii="Gill Sans MT" w:hAnsi="Gill Sans MT"/>
          <w:b/>
          <w:i/>
          <w:sz w:val="22"/>
          <w:szCs w:val="22"/>
        </w:rPr>
        <w:t>What exams and coursework are involved?</w:t>
      </w:r>
    </w:p>
    <w:p w:rsidR="002432C5" w:rsidRPr="007E55C6" w:rsidRDefault="00465FBE" w:rsidP="003009A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There is o</w:t>
      </w:r>
      <w:r w:rsidR="00CD4AE4">
        <w:rPr>
          <w:rFonts w:ascii="Gill Sans MT" w:hAnsi="Gill Sans MT"/>
          <w:sz w:val="22"/>
          <w:szCs w:val="22"/>
        </w:rPr>
        <w:t>ne</w:t>
      </w:r>
      <w:r w:rsidR="0029430E" w:rsidRPr="007E55C6">
        <w:rPr>
          <w:rFonts w:ascii="Gill Sans MT" w:hAnsi="Gill Sans MT"/>
          <w:sz w:val="22"/>
          <w:szCs w:val="22"/>
        </w:rPr>
        <w:t xml:space="preserve"> coursework unit and one exam unit.  </w:t>
      </w:r>
      <w:r w:rsidR="00F90647">
        <w:rPr>
          <w:rFonts w:ascii="Gill Sans MT" w:hAnsi="Gill Sans MT"/>
          <w:sz w:val="22"/>
          <w:szCs w:val="22"/>
        </w:rPr>
        <w:t>K</w:t>
      </w:r>
      <w:r w:rsidR="0029430E" w:rsidRPr="007E55C6">
        <w:rPr>
          <w:rFonts w:ascii="Gill Sans MT" w:hAnsi="Gill Sans MT"/>
          <w:sz w:val="22"/>
          <w:szCs w:val="22"/>
        </w:rPr>
        <w:t>nowledge, understanding and skill are built upon with greater depth of study</w:t>
      </w:r>
      <w:r w:rsidR="00F90647">
        <w:rPr>
          <w:rFonts w:ascii="Gill Sans MT" w:hAnsi="Gill Sans MT"/>
          <w:sz w:val="22"/>
          <w:szCs w:val="22"/>
        </w:rPr>
        <w:t xml:space="preserve"> in the second year</w:t>
      </w:r>
      <w:r w:rsidR="003009A3" w:rsidRPr="007E55C6">
        <w:rPr>
          <w:rFonts w:ascii="Gill Sans MT" w:hAnsi="Gill Sans MT"/>
          <w:sz w:val="22"/>
          <w:szCs w:val="22"/>
        </w:rPr>
        <w:t xml:space="preserve">.  </w:t>
      </w:r>
    </w:p>
    <w:tbl>
      <w:tblPr>
        <w:tblW w:w="960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3"/>
        <w:gridCol w:w="1780"/>
        <w:gridCol w:w="6186"/>
        <w:gridCol w:w="1071"/>
      </w:tblGrid>
      <w:tr w:rsidR="00465FBE" w:rsidRPr="007E55C6" w:rsidTr="00465FBE">
        <w:tc>
          <w:tcPr>
            <w:tcW w:w="9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BE" w:rsidRPr="007E55C6" w:rsidRDefault="00465FBE" w:rsidP="001C6AE3">
            <w:pPr>
              <w:tabs>
                <w:tab w:val="left" w:pos="7380"/>
              </w:tabs>
              <w:jc w:val="center"/>
              <w:rPr>
                <w:rFonts w:ascii="Gill Sans MT" w:hAnsi="Gill Sans MT"/>
                <w:iCs/>
                <w:sz w:val="22"/>
                <w:szCs w:val="22"/>
              </w:rPr>
            </w:pPr>
          </w:p>
          <w:p w:rsidR="00465FBE" w:rsidRPr="007E55C6" w:rsidRDefault="00465FBE" w:rsidP="00C86A51">
            <w:pPr>
              <w:tabs>
                <w:tab w:val="left" w:pos="7380"/>
              </w:tabs>
              <w:jc w:val="center"/>
              <w:rPr>
                <w:rFonts w:ascii="Gill Sans MT" w:hAnsi="Gill Sans MT"/>
                <w:iCs/>
                <w:sz w:val="22"/>
                <w:szCs w:val="22"/>
              </w:rPr>
            </w:pPr>
            <w:r w:rsidRPr="007E55C6">
              <w:rPr>
                <w:rFonts w:ascii="Gill Sans MT" w:hAnsi="Gill Sans MT"/>
                <w:b/>
                <w:iCs/>
                <w:sz w:val="22"/>
                <w:szCs w:val="22"/>
              </w:rPr>
              <w:t>AS Level units</w:t>
            </w:r>
            <w:r w:rsidRPr="007E55C6">
              <w:rPr>
                <w:rFonts w:ascii="Gill Sans MT" w:hAnsi="Gill Sans MT"/>
                <w:b/>
                <w:bCs/>
                <w:iCs/>
                <w:sz w:val="22"/>
                <w:szCs w:val="22"/>
              </w:rPr>
              <w:t xml:space="preserve"> </w:t>
            </w:r>
            <w:r w:rsidR="00C86A51">
              <w:rPr>
                <w:rFonts w:ascii="Gill Sans MT" w:hAnsi="Gill Sans MT"/>
                <w:b/>
                <w:bCs/>
                <w:iCs/>
                <w:sz w:val="22"/>
                <w:szCs w:val="22"/>
              </w:rPr>
              <w:t>(1 or 2 year course)</w:t>
            </w:r>
          </w:p>
        </w:tc>
      </w:tr>
      <w:tr w:rsidR="00661561" w:rsidRPr="007E55C6" w:rsidTr="00661561">
        <w:tc>
          <w:tcPr>
            <w:tcW w:w="459" w:type="dxa"/>
            <w:tcBorders>
              <w:top w:val="single" w:sz="4" w:space="0" w:color="auto"/>
            </w:tcBorders>
          </w:tcPr>
          <w:p w:rsidR="00661561" w:rsidRPr="007E55C6" w:rsidRDefault="00661561" w:rsidP="002634CA">
            <w:pPr>
              <w:tabs>
                <w:tab w:val="left" w:pos="7380"/>
              </w:tabs>
              <w:rPr>
                <w:rFonts w:ascii="Gill Sans MT" w:hAnsi="Gill Sans MT"/>
                <w:iCs/>
                <w:sz w:val="22"/>
                <w:szCs w:val="22"/>
              </w:rPr>
            </w:pPr>
            <w:r w:rsidRPr="007E55C6">
              <w:rPr>
                <w:rFonts w:ascii="Gill Sans MT" w:hAnsi="Gill Sans MT"/>
                <w:iCs/>
                <w:sz w:val="22"/>
                <w:szCs w:val="22"/>
              </w:rPr>
              <w:t>1.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661561" w:rsidRDefault="00222A3F" w:rsidP="00222A3F">
            <w:pPr>
              <w:tabs>
                <w:tab w:val="left" w:pos="7380"/>
              </w:tabs>
              <w:rPr>
                <w:rFonts w:ascii="Gill Sans MT" w:hAnsi="Gill Sans MT"/>
                <w:iCs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>Component 1:</w:t>
            </w:r>
          </w:p>
          <w:p w:rsidR="00967B0E" w:rsidRPr="00967B0E" w:rsidRDefault="00967B0E" w:rsidP="00222A3F">
            <w:pPr>
              <w:tabs>
                <w:tab w:val="left" w:pos="7380"/>
              </w:tabs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67B0E">
              <w:rPr>
                <w:rFonts w:ascii="Gill Sans MT" w:hAnsi="Gill Sans MT"/>
                <w:i/>
                <w:iCs/>
                <w:sz w:val="22"/>
                <w:szCs w:val="22"/>
              </w:rPr>
              <w:t>Portfolio</w:t>
            </w:r>
          </w:p>
        </w:tc>
        <w:tc>
          <w:tcPr>
            <w:tcW w:w="6186" w:type="dxa"/>
            <w:tcBorders>
              <w:top w:val="single" w:sz="4" w:space="0" w:color="auto"/>
            </w:tcBorders>
          </w:tcPr>
          <w:p w:rsidR="00661561" w:rsidRDefault="00661561" w:rsidP="00967B0E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7E55C6">
              <w:rPr>
                <w:rFonts w:ascii="Gill Sans MT" w:hAnsi="Gill Sans MT"/>
                <w:sz w:val="22"/>
                <w:szCs w:val="22"/>
              </w:rPr>
              <w:t>Students are required to submit a final outcome which must be accompanied by preliminary/supporting studies addressing all four assessment criteria.</w:t>
            </w:r>
            <w:r>
              <w:rPr>
                <w:rFonts w:ascii="Gill Sans MT" w:hAnsi="Gill Sans MT"/>
                <w:sz w:val="22"/>
                <w:szCs w:val="22"/>
              </w:rPr>
              <w:t xml:space="preserve">  This unit is usually 15 weeks.</w:t>
            </w:r>
          </w:p>
          <w:p w:rsidR="00C86A51" w:rsidRPr="007E55C6" w:rsidRDefault="00C86A51" w:rsidP="00967B0E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iCs/>
                <w:sz w:val="22"/>
                <w:szCs w:val="22"/>
              </w:rPr>
            </w:pPr>
          </w:p>
        </w:tc>
        <w:tc>
          <w:tcPr>
            <w:tcW w:w="1071" w:type="dxa"/>
          </w:tcPr>
          <w:p w:rsidR="00661561" w:rsidRPr="007E55C6" w:rsidRDefault="00661561" w:rsidP="002634CA">
            <w:pPr>
              <w:tabs>
                <w:tab w:val="left" w:pos="7380"/>
              </w:tabs>
              <w:jc w:val="center"/>
              <w:rPr>
                <w:rFonts w:ascii="Gill Sans MT" w:hAnsi="Gill Sans MT"/>
                <w:iCs/>
                <w:sz w:val="22"/>
                <w:szCs w:val="22"/>
              </w:rPr>
            </w:pPr>
          </w:p>
          <w:p w:rsidR="00661561" w:rsidRPr="007E55C6" w:rsidRDefault="00661561" w:rsidP="002634CA">
            <w:pPr>
              <w:tabs>
                <w:tab w:val="left" w:pos="7380"/>
              </w:tabs>
              <w:jc w:val="center"/>
              <w:rPr>
                <w:rFonts w:ascii="Gill Sans MT" w:hAnsi="Gill Sans MT"/>
                <w:iCs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>60</w:t>
            </w:r>
            <w:r w:rsidRPr="007E55C6">
              <w:rPr>
                <w:rFonts w:ascii="Gill Sans MT" w:hAnsi="Gill Sans MT"/>
                <w:iCs/>
                <w:sz w:val="22"/>
                <w:szCs w:val="22"/>
              </w:rPr>
              <w:t>%</w:t>
            </w:r>
          </w:p>
        </w:tc>
      </w:tr>
      <w:tr w:rsidR="00661561" w:rsidRPr="007E55C6" w:rsidTr="006D19B5">
        <w:tc>
          <w:tcPr>
            <w:tcW w:w="459" w:type="dxa"/>
          </w:tcPr>
          <w:p w:rsidR="00661561" w:rsidRPr="007E55C6" w:rsidRDefault="00661561" w:rsidP="002634CA">
            <w:pPr>
              <w:tabs>
                <w:tab w:val="left" w:pos="7380"/>
              </w:tabs>
              <w:rPr>
                <w:rFonts w:ascii="Gill Sans MT" w:hAnsi="Gill Sans MT"/>
                <w:iCs/>
                <w:sz w:val="22"/>
                <w:szCs w:val="22"/>
              </w:rPr>
            </w:pPr>
            <w:r w:rsidRPr="007E55C6">
              <w:rPr>
                <w:rFonts w:ascii="Gill Sans MT" w:hAnsi="Gill Sans MT"/>
                <w:iCs/>
                <w:sz w:val="22"/>
                <w:szCs w:val="22"/>
              </w:rPr>
              <w:t>2.</w:t>
            </w:r>
          </w:p>
        </w:tc>
        <w:tc>
          <w:tcPr>
            <w:tcW w:w="1893" w:type="dxa"/>
            <w:gridSpan w:val="2"/>
          </w:tcPr>
          <w:p w:rsidR="00661561" w:rsidRDefault="00222A3F" w:rsidP="00642C26">
            <w:pPr>
              <w:tabs>
                <w:tab w:val="left" w:pos="7380"/>
              </w:tabs>
              <w:rPr>
                <w:rFonts w:ascii="Gill Sans MT" w:hAnsi="Gill Sans MT"/>
                <w:iCs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>Component 2:</w:t>
            </w:r>
          </w:p>
          <w:p w:rsidR="00967B0E" w:rsidRPr="00967B0E" w:rsidRDefault="00967B0E" w:rsidP="00642C26">
            <w:pPr>
              <w:tabs>
                <w:tab w:val="left" w:pos="7380"/>
              </w:tabs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67B0E">
              <w:rPr>
                <w:rFonts w:ascii="Gill Sans MT" w:hAnsi="Gill Sans MT"/>
                <w:i/>
                <w:iCs/>
                <w:sz w:val="22"/>
                <w:szCs w:val="22"/>
              </w:rPr>
              <w:t>Externally set assignment</w:t>
            </w:r>
          </w:p>
        </w:tc>
        <w:tc>
          <w:tcPr>
            <w:tcW w:w="6186" w:type="dxa"/>
          </w:tcPr>
          <w:p w:rsidR="00661561" w:rsidRDefault="00661561" w:rsidP="00D538F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Q</w:t>
            </w:r>
            <w:r w:rsidRPr="007E55C6">
              <w:rPr>
                <w:rFonts w:ascii="Gill Sans MT" w:hAnsi="Gill Sans MT"/>
                <w:sz w:val="22"/>
                <w:szCs w:val="22"/>
              </w:rPr>
              <w:t xml:space="preserve">uestions set by AQA.  5 weeks allowed for preliminary studies followed by </w:t>
            </w:r>
            <w:r w:rsidR="00D538FC">
              <w:rPr>
                <w:rFonts w:ascii="Gill Sans MT" w:hAnsi="Gill Sans MT"/>
                <w:sz w:val="22"/>
                <w:szCs w:val="22"/>
              </w:rPr>
              <w:t>5 hours of supervised time</w:t>
            </w:r>
            <w:r>
              <w:rPr>
                <w:rFonts w:ascii="Gill Sans MT" w:hAnsi="Gill Sans MT"/>
                <w:sz w:val="22"/>
                <w:szCs w:val="22"/>
              </w:rPr>
              <w:t xml:space="preserve"> for development of ideas then a further 5 weeks for final outcome</w:t>
            </w:r>
            <w:r w:rsidRPr="007E55C6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86A51" w:rsidRPr="007E55C6" w:rsidRDefault="00C86A51" w:rsidP="00D538F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 w:cs="Garamond"/>
                <w:sz w:val="22"/>
                <w:szCs w:val="22"/>
              </w:rPr>
            </w:pPr>
          </w:p>
        </w:tc>
        <w:tc>
          <w:tcPr>
            <w:tcW w:w="1071" w:type="dxa"/>
          </w:tcPr>
          <w:p w:rsidR="00661561" w:rsidRPr="007E55C6" w:rsidRDefault="00661561" w:rsidP="002634CA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</w:p>
          <w:p w:rsidR="00661561" w:rsidRPr="007E55C6" w:rsidRDefault="00661561" w:rsidP="00661561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  <w:r>
              <w:rPr>
                <w:rFonts w:ascii="Gill Sans MT" w:hAnsi="Gill Sans MT" w:cs="Garamond"/>
                <w:sz w:val="22"/>
                <w:szCs w:val="22"/>
              </w:rPr>
              <w:t>40</w:t>
            </w:r>
            <w:r w:rsidRPr="007E55C6">
              <w:rPr>
                <w:rFonts w:ascii="Gill Sans MT" w:hAnsi="Gill Sans MT" w:cs="Garamond"/>
                <w:sz w:val="22"/>
                <w:szCs w:val="22"/>
              </w:rPr>
              <w:t>%</w:t>
            </w:r>
          </w:p>
        </w:tc>
      </w:tr>
      <w:tr w:rsidR="001C6AE3" w:rsidRPr="007E55C6" w:rsidTr="001C6AE3">
        <w:tc>
          <w:tcPr>
            <w:tcW w:w="9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AE3" w:rsidRDefault="001C6AE3" w:rsidP="002634CA">
            <w:pPr>
              <w:tabs>
                <w:tab w:val="left" w:pos="7380"/>
              </w:tabs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1C6AE3" w:rsidRPr="00642C26" w:rsidRDefault="001C6AE3" w:rsidP="00465FBE">
            <w:pPr>
              <w:tabs>
                <w:tab w:val="left" w:pos="7380"/>
              </w:tabs>
              <w:jc w:val="center"/>
              <w:rPr>
                <w:rFonts w:ascii="Gill Sans MT" w:hAnsi="Gill Sans MT"/>
                <w:b/>
                <w:bCs/>
                <w:iCs/>
                <w:sz w:val="22"/>
                <w:szCs w:val="22"/>
              </w:rPr>
            </w:pPr>
            <w:r w:rsidRPr="007E55C6">
              <w:rPr>
                <w:rFonts w:ascii="Gill Sans MT" w:hAnsi="Gill Sans MT"/>
                <w:b/>
                <w:bCs/>
                <w:sz w:val="22"/>
                <w:szCs w:val="22"/>
              </w:rPr>
              <w:t>A2 Level units</w:t>
            </w:r>
            <w:r w:rsidR="00C86A51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(2 year course)</w:t>
            </w:r>
          </w:p>
        </w:tc>
      </w:tr>
      <w:tr w:rsidR="00C64962" w:rsidRPr="007E55C6" w:rsidTr="00222A3F"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C64962" w:rsidRPr="007E55C6" w:rsidRDefault="00C64962" w:rsidP="002634CA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 w:rsidRPr="007E55C6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C64962" w:rsidRPr="007E55C6" w:rsidRDefault="00222A3F" w:rsidP="00642C26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 xml:space="preserve">Component 1: </w:t>
            </w:r>
            <w:r w:rsidRPr="00967B0E">
              <w:rPr>
                <w:rFonts w:ascii="Gill Sans MT" w:hAnsi="Gill Sans MT"/>
                <w:i/>
                <w:iCs/>
                <w:sz w:val="22"/>
                <w:szCs w:val="22"/>
              </w:rPr>
              <w:t>Personal Investigation</w:t>
            </w:r>
          </w:p>
          <w:p w:rsidR="00C64962" w:rsidRPr="007E55C6" w:rsidRDefault="00C64962" w:rsidP="00642C26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auto"/>
            </w:tcBorders>
          </w:tcPr>
          <w:p w:rsidR="00C64962" w:rsidRDefault="00C64962" w:rsidP="00155726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 w:rsidRPr="007E55C6">
              <w:rPr>
                <w:rFonts w:ascii="Gill Sans MT" w:hAnsi="Gill Sans MT"/>
                <w:sz w:val="22"/>
                <w:szCs w:val="22"/>
              </w:rPr>
              <w:t xml:space="preserve">The emphasis is on self-directed study.  </w:t>
            </w:r>
            <w:r w:rsidR="00155726">
              <w:rPr>
                <w:rFonts w:ascii="Gill Sans MT" w:hAnsi="Gill Sans MT"/>
                <w:sz w:val="22"/>
                <w:szCs w:val="22"/>
              </w:rPr>
              <w:t xml:space="preserve">Students </w:t>
            </w:r>
            <w:r w:rsidRPr="007E55C6">
              <w:rPr>
                <w:rFonts w:ascii="Gill Sans MT" w:hAnsi="Gill Sans MT"/>
                <w:sz w:val="22"/>
                <w:szCs w:val="22"/>
              </w:rPr>
              <w:t>will demonstrate evidence of greater maturity and depth in the skills, knowledge and understanding gained at AS.  A personal investigation supported by 1000-3000 words.</w:t>
            </w:r>
            <w:r w:rsidR="007E55C6">
              <w:rPr>
                <w:rFonts w:ascii="Gill Sans MT" w:hAnsi="Gill Sans MT"/>
                <w:sz w:val="22"/>
                <w:szCs w:val="22"/>
              </w:rPr>
              <w:t xml:space="preserve">  This unit is 15 weeks.</w:t>
            </w:r>
          </w:p>
          <w:p w:rsidR="00C86A51" w:rsidRPr="007E55C6" w:rsidRDefault="00C86A51" w:rsidP="00155726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C64962" w:rsidRPr="007E55C6" w:rsidRDefault="00C64962" w:rsidP="002634CA">
            <w:pPr>
              <w:tabs>
                <w:tab w:val="left" w:pos="7380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C64962" w:rsidRPr="007E55C6" w:rsidRDefault="00C86A51" w:rsidP="002634CA">
            <w:pPr>
              <w:tabs>
                <w:tab w:val="left" w:pos="7380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60</w:t>
            </w:r>
            <w:r w:rsidR="00C64962" w:rsidRPr="007E55C6">
              <w:rPr>
                <w:rFonts w:ascii="Gill Sans MT" w:hAnsi="Gill Sans MT"/>
                <w:sz w:val="22"/>
                <w:szCs w:val="22"/>
              </w:rPr>
              <w:t>%</w:t>
            </w:r>
          </w:p>
        </w:tc>
      </w:tr>
      <w:tr w:rsidR="00C64962" w:rsidRPr="007E55C6" w:rsidTr="00222A3F">
        <w:tc>
          <w:tcPr>
            <w:tcW w:w="572" w:type="dxa"/>
            <w:gridSpan w:val="2"/>
          </w:tcPr>
          <w:p w:rsidR="00C64962" w:rsidRPr="007E55C6" w:rsidRDefault="00C64962" w:rsidP="002634CA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 w:rsidRPr="007E55C6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1780" w:type="dxa"/>
          </w:tcPr>
          <w:p w:rsidR="00C64962" w:rsidRPr="007E55C6" w:rsidRDefault="00222A3F" w:rsidP="00222A3F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 xml:space="preserve">Component 2: </w:t>
            </w:r>
            <w:r w:rsidRPr="00967B0E">
              <w:rPr>
                <w:rFonts w:ascii="Gill Sans MT" w:hAnsi="Gill Sans MT"/>
                <w:i/>
                <w:iCs/>
                <w:sz w:val="22"/>
                <w:szCs w:val="22"/>
              </w:rPr>
              <w:t>Externally set assignment</w:t>
            </w:r>
            <w:r w:rsidRPr="007E55C6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</w:tcPr>
          <w:p w:rsidR="00C64962" w:rsidRDefault="00155726" w:rsidP="0045624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Q</w:t>
            </w:r>
            <w:r w:rsidRPr="007E55C6">
              <w:rPr>
                <w:rFonts w:ascii="Gill Sans MT" w:hAnsi="Gill Sans MT"/>
                <w:sz w:val="22"/>
                <w:szCs w:val="22"/>
              </w:rPr>
              <w:t xml:space="preserve">uestions set by AQA.  </w:t>
            </w:r>
            <w:r w:rsidR="00F1328A">
              <w:rPr>
                <w:rFonts w:ascii="Gill Sans MT" w:hAnsi="Gill Sans MT"/>
                <w:sz w:val="22"/>
                <w:szCs w:val="22"/>
              </w:rPr>
              <w:t>11</w:t>
            </w:r>
            <w:bookmarkStart w:id="0" w:name="_GoBack"/>
            <w:bookmarkEnd w:id="0"/>
            <w:r w:rsidR="00C64962" w:rsidRPr="007E55C6">
              <w:rPr>
                <w:rFonts w:ascii="Gill Sans MT" w:hAnsi="Gill Sans MT"/>
                <w:sz w:val="22"/>
                <w:szCs w:val="22"/>
              </w:rPr>
              <w:t xml:space="preserve"> weeks allowed for preliminar</w:t>
            </w:r>
            <w:r w:rsidR="0045624C">
              <w:rPr>
                <w:rFonts w:ascii="Gill Sans MT" w:hAnsi="Gill Sans MT"/>
                <w:sz w:val="22"/>
                <w:szCs w:val="22"/>
              </w:rPr>
              <w:t xml:space="preserve">y studies followed by a 15 hours of supervised time </w:t>
            </w:r>
            <w:r w:rsidR="007E55C6">
              <w:rPr>
                <w:rFonts w:ascii="Gill Sans MT" w:hAnsi="Gill Sans MT"/>
                <w:sz w:val="22"/>
                <w:szCs w:val="22"/>
              </w:rPr>
              <w:t>to complete a final outcome</w:t>
            </w:r>
            <w:r w:rsidR="00C64962" w:rsidRPr="007E55C6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C86A51" w:rsidRPr="007E55C6" w:rsidRDefault="00C86A51" w:rsidP="0045624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71" w:type="dxa"/>
          </w:tcPr>
          <w:p w:rsidR="00C64962" w:rsidRPr="007E55C6" w:rsidRDefault="00C64962" w:rsidP="002634CA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</w:p>
          <w:p w:rsidR="00C64962" w:rsidRDefault="00C86A51" w:rsidP="002634CA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  <w:r>
              <w:rPr>
                <w:rFonts w:ascii="Gill Sans MT" w:hAnsi="Gill Sans MT" w:cs="Garamond"/>
                <w:sz w:val="22"/>
                <w:szCs w:val="22"/>
              </w:rPr>
              <w:t>40</w:t>
            </w:r>
            <w:r w:rsidR="00C64962" w:rsidRPr="007E55C6">
              <w:rPr>
                <w:rFonts w:ascii="Gill Sans MT" w:hAnsi="Gill Sans MT" w:cs="Garamond"/>
                <w:sz w:val="22"/>
                <w:szCs w:val="22"/>
              </w:rPr>
              <w:t>%</w:t>
            </w:r>
          </w:p>
          <w:p w:rsidR="00661561" w:rsidRPr="007E55C6" w:rsidRDefault="00661561" w:rsidP="002634CA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</w:p>
        </w:tc>
      </w:tr>
    </w:tbl>
    <w:p w:rsidR="003009A3" w:rsidRPr="007E55C6" w:rsidRDefault="003009A3">
      <w:pPr>
        <w:rPr>
          <w:rFonts w:ascii="Gill Sans MT" w:hAnsi="Gill Sans MT"/>
          <w:sz w:val="22"/>
          <w:szCs w:val="22"/>
        </w:rPr>
      </w:pPr>
    </w:p>
    <w:p w:rsidR="009E3C07" w:rsidRPr="007E55C6" w:rsidRDefault="00B87500">
      <w:pPr>
        <w:rPr>
          <w:rFonts w:ascii="Gill Sans MT" w:hAnsi="Gill Sans MT"/>
          <w:b/>
          <w:i/>
          <w:sz w:val="22"/>
          <w:szCs w:val="22"/>
        </w:rPr>
      </w:pPr>
      <w:r w:rsidRPr="007E55C6">
        <w:rPr>
          <w:rFonts w:ascii="Gill Sans MT" w:hAnsi="Gill Sans MT"/>
          <w:b/>
          <w:i/>
          <w:sz w:val="22"/>
          <w:szCs w:val="22"/>
        </w:rPr>
        <w:t>What are the entry qualifications?</w:t>
      </w:r>
    </w:p>
    <w:p w:rsidR="00B87500" w:rsidRPr="007E55C6" w:rsidRDefault="00B87500">
      <w:pPr>
        <w:rPr>
          <w:rFonts w:ascii="Gill Sans MT" w:hAnsi="Gill Sans MT"/>
          <w:sz w:val="22"/>
          <w:szCs w:val="22"/>
        </w:rPr>
      </w:pPr>
      <w:r w:rsidRPr="007E55C6">
        <w:rPr>
          <w:rFonts w:ascii="Gill Sans MT" w:hAnsi="Gill Sans MT"/>
          <w:sz w:val="22"/>
          <w:szCs w:val="22"/>
        </w:rPr>
        <w:t xml:space="preserve">A successful A Level student shows strong commitment, motivation and enthusiasm for art and is prepared to do more than the minimum.  </w:t>
      </w:r>
      <w:r w:rsidR="00155726">
        <w:rPr>
          <w:rFonts w:ascii="Gill Sans MT" w:hAnsi="Gill Sans MT"/>
          <w:sz w:val="22"/>
          <w:szCs w:val="22"/>
        </w:rPr>
        <w:t>Students</w:t>
      </w:r>
      <w:r w:rsidRPr="007E55C6">
        <w:rPr>
          <w:rFonts w:ascii="Gill Sans MT" w:hAnsi="Gill Sans MT"/>
          <w:sz w:val="22"/>
          <w:szCs w:val="22"/>
        </w:rPr>
        <w:t xml:space="preserve"> need a minimum of </w:t>
      </w:r>
      <w:r w:rsidR="00155726">
        <w:rPr>
          <w:rFonts w:ascii="Gill Sans MT" w:hAnsi="Gill Sans MT"/>
          <w:sz w:val="22"/>
          <w:szCs w:val="22"/>
        </w:rPr>
        <w:t>G</w:t>
      </w:r>
      <w:r w:rsidRPr="007E55C6">
        <w:rPr>
          <w:rFonts w:ascii="Gill Sans MT" w:hAnsi="Gill Sans MT"/>
          <w:sz w:val="22"/>
          <w:szCs w:val="22"/>
        </w:rPr>
        <w:t xml:space="preserve">rade </w:t>
      </w:r>
      <w:r w:rsidR="007E55C6">
        <w:rPr>
          <w:rFonts w:ascii="Gill Sans MT" w:hAnsi="Gill Sans MT"/>
          <w:sz w:val="22"/>
          <w:szCs w:val="22"/>
        </w:rPr>
        <w:t>B</w:t>
      </w:r>
      <w:r w:rsidRPr="007E55C6">
        <w:rPr>
          <w:rFonts w:ascii="Gill Sans MT" w:hAnsi="Gill Sans MT"/>
          <w:sz w:val="22"/>
          <w:szCs w:val="22"/>
        </w:rPr>
        <w:t xml:space="preserve"> in GCSE Art and Design</w:t>
      </w:r>
      <w:r w:rsidR="007E55C6">
        <w:rPr>
          <w:rFonts w:ascii="Gill Sans MT" w:hAnsi="Gill Sans MT"/>
          <w:sz w:val="22"/>
          <w:szCs w:val="22"/>
        </w:rPr>
        <w:t xml:space="preserve"> and a summer assignment task is set</w:t>
      </w:r>
      <w:r w:rsidRPr="007E55C6">
        <w:rPr>
          <w:rFonts w:ascii="Gill Sans MT" w:hAnsi="Gill Sans MT"/>
          <w:sz w:val="22"/>
          <w:szCs w:val="22"/>
        </w:rPr>
        <w:t>.</w:t>
      </w:r>
    </w:p>
    <w:p w:rsidR="00B87500" w:rsidRPr="007E55C6" w:rsidRDefault="00B87500">
      <w:pPr>
        <w:rPr>
          <w:rFonts w:ascii="Gill Sans MT" w:hAnsi="Gill Sans MT"/>
          <w:sz w:val="22"/>
          <w:szCs w:val="22"/>
        </w:rPr>
      </w:pPr>
    </w:p>
    <w:p w:rsidR="00B87500" w:rsidRPr="007E55C6" w:rsidRDefault="00B87500">
      <w:pPr>
        <w:rPr>
          <w:rFonts w:ascii="Gill Sans MT" w:hAnsi="Gill Sans MT"/>
          <w:b/>
          <w:i/>
          <w:sz w:val="22"/>
          <w:szCs w:val="22"/>
        </w:rPr>
      </w:pPr>
      <w:r w:rsidRPr="007E55C6">
        <w:rPr>
          <w:rFonts w:ascii="Gill Sans MT" w:hAnsi="Gill Sans MT"/>
          <w:b/>
          <w:i/>
          <w:sz w:val="22"/>
          <w:szCs w:val="22"/>
        </w:rPr>
        <w:t>What could I do after completing the course?</w:t>
      </w:r>
    </w:p>
    <w:p w:rsidR="00B87500" w:rsidRPr="007E55C6" w:rsidRDefault="00155726" w:rsidP="002F0B7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Anyone wishing </w:t>
      </w:r>
      <w:r w:rsidR="00B87500" w:rsidRPr="007E55C6">
        <w:rPr>
          <w:rFonts w:ascii="Gill Sans MT" w:hAnsi="Gill Sans MT"/>
          <w:sz w:val="22"/>
          <w:szCs w:val="22"/>
        </w:rPr>
        <w:t>to continue studying Art would normally embark on a Foun</w:t>
      </w:r>
      <w:r w:rsidR="001253F0" w:rsidRPr="007E55C6">
        <w:rPr>
          <w:rFonts w:ascii="Gill Sans MT" w:hAnsi="Gill Sans MT"/>
          <w:sz w:val="22"/>
          <w:szCs w:val="22"/>
        </w:rPr>
        <w:t>dation Course where a breadth of art related subjects are investigated and a specialism studied.  This would usually result in progression to a Degree cour</w:t>
      </w:r>
      <w:r w:rsidR="002F0B79" w:rsidRPr="007E55C6">
        <w:rPr>
          <w:rFonts w:ascii="Gill Sans MT" w:hAnsi="Gill Sans MT"/>
          <w:sz w:val="22"/>
          <w:szCs w:val="22"/>
        </w:rPr>
        <w:t xml:space="preserve">se in a particular area of art: </w:t>
      </w:r>
      <w:r w:rsidR="001253F0" w:rsidRPr="007E55C6">
        <w:rPr>
          <w:rFonts w:ascii="Gill Sans MT" w:hAnsi="Gill Sans MT"/>
          <w:sz w:val="22"/>
          <w:szCs w:val="22"/>
        </w:rPr>
        <w:t>Fine Art, Illustration, Fashion, Graphics, three dimensional Design or Architecture.</w:t>
      </w:r>
      <w:r w:rsidR="002F0B79" w:rsidRPr="007E55C6">
        <w:rPr>
          <w:rFonts w:ascii="Gill Sans MT" w:hAnsi="Gill Sans MT"/>
          <w:sz w:val="22"/>
          <w:szCs w:val="22"/>
        </w:rPr>
        <w:t xml:space="preserve"> Art will offer the skills necessary to be an individual and creative thinker.  The artistic mind can employ lateral thinking and offer creative solutions to problems; this is valued and sought after in many areas of employment.  </w:t>
      </w:r>
    </w:p>
    <w:p w:rsidR="009E3C07" w:rsidRPr="007E55C6" w:rsidRDefault="009E3C07">
      <w:pPr>
        <w:rPr>
          <w:rFonts w:ascii="Gill Sans MT" w:hAnsi="Gill Sans MT"/>
          <w:sz w:val="22"/>
          <w:szCs w:val="22"/>
        </w:rPr>
      </w:pPr>
    </w:p>
    <w:p w:rsidR="001F00BA" w:rsidRPr="007E55C6" w:rsidRDefault="001F00BA" w:rsidP="001F00BA">
      <w:pPr>
        <w:rPr>
          <w:rFonts w:ascii="Gill Sans MT" w:hAnsi="Gill Sans MT"/>
          <w:sz w:val="22"/>
          <w:szCs w:val="22"/>
        </w:rPr>
      </w:pPr>
      <w:r w:rsidRPr="007E55C6">
        <w:rPr>
          <w:rFonts w:ascii="Gill Sans MT" w:hAnsi="Gill Sans MT"/>
          <w:b/>
          <w:bCs/>
          <w:sz w:val="22"/>
          <w:szCs w:val="22"/>
        </w:rPr>
        <w:t>For further information contact Mrs</w:t>
      </w:r>
      <w:r w:rsidR="001E5B96">
        <w:rPr>
          <w:rFonts w:ascii="Gill Sans MT" w:hAnsi="Gill Sans MT"/>
          <w:b/>
          <w:bCs/>
          <w:sz w:val="22"/>
          <w:szCs w:val="22"/>
        </w:rPr>
        <w:t xml:space="preserve"> L</w:t>
      </w:r>
      <w:r w:rsidRPr="007E55C6">
        <w:rPr>
          <w:rFonts w:ascii="Gill Sans MT" w:hAnsi="Gill Sans MT"/>
          <w:b/>
          <w:bCs/>
          <w:sz w:val="22"/>
          <w:szCs w:val="22"/>
        </w:rPr>
        <w:t xml:space="preserve"> Spokes</w:t>
      </w:r>
      <w:r w:rsidR="00194716">
        <w:rPr>
          <w:rFonts w:ascii="Gill Sans MT" w:hAnsi="Gill Sans MT"/>
          <w:b/>
          <w:bCs/>
          <w:sz w:val="22"/>
          <w:szCs w:val="22"/>
        </w:rPr>
        <w:t>.</w:t>
      </w:r>
    </w:p>
    <w:sectPr w:rsidR="001F00BA" w:rsidRPr="007E55C6" w:rsidSect="00F76767">
      <w:headerReference w:type="default" r:id="rId8"/>
      <w:pgSz w:w="11906" w:h="16838" w:code="9"/>
      <w:pgMar w:top="158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85" w:rsidRDefault="002E7A85">
      <w:r>
        <w:separator/>
      </w:r>
    </w:p>
  </w:endnote>
  <w:endnote w:type="continuationSeparator" w:id="0">
    <w:p w:rsidR="002E7A85" w:rsidRDefault="002E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85" w:rsidRDefault="002E7A85">
      <w:r>
        <w:separator/>
      </w:r>
    </w:p>
  </w:footnote>
  <w:footnote w:type="continuationSeparator" w:id="0">
    <w:p w:rsidR="002E7A85" w:rsidRDefault="002E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92" w:rsidRPr="007E55C6" w:rsidRDefault="00A34C92">
    <w:pPr>
      <w:pStyle w:val="Header"/>
      <w:rPr>
        <w:rFonts w:ascii="Gill Sans MT" w:hAnsi="Gill Sans MT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7E55C6">
      <w:rPr>
        <w:rFonts w:ascii="Gill Sans MT" w:hAnsi="Gill Sans MT"/>
        <w:sz w:val="20"/>
        <w:szCs w:val="20"/>
      </w:rPr>
      <w:t xml:space="preserve">                                   SIXTH FORM INFORMATION 20</w:t>
    </w:r>
    <w:r w:rsidR="00DD12CB" w:rsidRPr="007E55C6">
      <w:rPr>
        <w:rFonts w:ascii="Gill Sans MT" w:hAnsi="Gill Sans MT"/>
        <w:sz w:val="20"/>
        <w:szCs w:val="20"/>
      </w:rPr>
      <w:t>1</w:t>
    </w:r>
    <w:r w:rsidR="008F3D4E">
      <w:rPr>
        <w:rFonts w:ascii="Gill Sans MT" w:hAnsi="Gill Sans MT"/>
        <w:sz w:val="20"/>
        <w:szCs w:val="20"/>
      </w:rPr>
      <w:t>4</w:t>
    </w:r>
    <w:r w:rsidR="00D46311">
      <w:rPr>
        <w:rFonts w:ascii="Gill Sans MT" w:hAnsi="Gill Sans MT"/>
        <w:sz w:val="20"/>
        <w:szCs w:val="20"/>
      </w:rPr>
      <w:t>/1</w:t>
    </w:r>
    <w:r w:rsidR="008F3D4E">
      <w:rPr>
        <w:rFonts w:ascii="Gill Sans MT" w:hAnsi="Gill Sans MT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7F6"/>
    <w:multiLevelType w:val="hybridMultilevel"/>
    <w:tmpl w:val="0BF8A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C7EBF"/>
    <w:multiLevelType w:val="hybridMultilevel"/>
    <w:tmpl w:val="76D40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A04EB"/>
    <w:multiLevelType w:val="hybridMultilevel"/>
    <w:tmpl w:val="C3E23A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5F"/>
    <w:rsid w:val="00032DEB"/>
    <w:rsid w:val="0005673C"/>
    <w:rsid w:val="000A7127"/>
    <w:rsid w:val="001253F0"/>
    <w:rsid w:val="00155726"/>
    <w:rsid w:val="00171487"/>
    <w:rsid w:val="00194716"/>
    <w:rsid w:val="001C6AE3"/>
    <w:rsid w:val="001E5B96"/>
    <w:rsid w:val="001F00BA"/>
    <w:rsid w:val="00222A3F"/>
    <w:rsid w:val="002327CE"/>
    <w:rsid w:val="002432C5"/>
    <w:rsid w:val="002623D0"/>
    <w:rsid w:val="002634CA"/>
    <w:rsid w:val="0029430E"/>
    <w:rsid w:val="002C02B7"/>
    <w:rsid w:val="002E7A85"/>
    <w:rsid w:val="002F0B79"/>
    <w:rsid w:val="003009A3"/>
    <w:rsid w:val="00391BFB"/>
    <w:rsid w:val="004223A8"/>
    <w:rsid w:val="0045624C"/>
    <w:rsid w:val="00465FBE"/>
    <w:rsid w:val="004A5756"/>
    <w:rsid w:val="00593E94"/>
    <w:rsid w:val="006133A7"/>
    <w:rsid w:val="00626DDF"/>
    <w:rsid w:val="00642C26"/>
    <w:rsid w:val="0064352C"/>
    <w:rsid w:val="00661561"/>
    <w:rsid w:val="00673035"/>
    <w:rsid w:val="00723FA3"/>
    <w:rsid w:val="0074690C"/>
    <w:rsid w:val="0075765F"/>
    <w:rsid w:val="007E55C6"/>
    <w:rsid w:val="008B634D"/>
    <w:rsid w:val="008F3D4E"/>
    <w:rsid w:val="00914295"/>
    <w:rsid w:val="009253E8"/>
    <w:rsid w:val="00967B0E"/>
    <w:rsid w:val="009B4B76"/>
    <w:rsid w:val="009E3C07"/>
    <w:rsid w:val="00A06109"/>
    <w:rsid w:val="00A23F57"/>
    <w:rsid w:val="00A34C92"/>
    <w:rsid w:val="00A925C1"/>
    <w:rsid w:val="00B02B51"/>
    <w:rsid w:val="00B04B59"/>
    <w:rsid w:val="00B50C2A"/>
    <w:rsid w:val="00B87500"/>
    <w:rsid w:val="00BA0454"/>
    <w:rsid w:val="00C0550D"/>
    <w:rsid w:val="00C64962"/>
    <w:rsid w:val="00C715F7"/>
    <w:rsid w:val="00C7451A"/>
    <w:rsid w:val="00C86A51"/>
    <w:rsid w:val="00CC287A"/>
    <w:rsid w:val="00CD4AE4"/>
    <w:rsid w:val="00D15A28"/>
    <w:rsid w:val="00D46311"/>
    <w:rsid w:val="00D538FC"/>
    <w:rsid w:val="00DD12CB"/>
    <w:rsid w:val="00E60124"/>
    <w:rsid w:val="00F1328A"/>
    <w:rsid w:val="00F26609"/>
    <w:rsid w:val="00F30392"/>
    <w:rsid w:val="00F442B1"/>
    <w:rsid w:val="00F76767"/>
    <w:rsid w:val="00F90647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4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C9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4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C9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5AB5294A</Template>
  <TotalTime>3</TotalTime>
  <Pages>1</Pages>
  <Words>409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the course involve</vt:lpstr>
    </vt:vector>
  </TitlesOfParts>
  <Company>Research Machines plc.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the course involve</dc:title>
  <dc:creator>LMencner</dc:creator>
  <cp:lastModifiedBy>LSpokes</cp:lastModifiedBy>
  <cp:revision>5</cp:revision>
  <cp:lastPrinted>2014-10-08T11:55:00Z</cp:lastPrinted>
  <dcterms:created xsi:type="dcterms:W3CDTF">2014-09-30T11:36:00Z</dcterms:created>
  <dcterms:modified xsi:type="dcterms:W3CDTF">2014-10-08T11:58:00Z</dcterms:modified>
</cp:coreProperties>
</file>